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12" w:lineRule="auto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附件3：</w:t>
      </w:r>
    </w:p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江西省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第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届“名师杯”小学数学精品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资源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0"/>
          <w:szCs w:val="30"/>
        </w:rPr>
        <w:t>大赛</w:t>
      </w:r>
    </w:p>
    <w:p>
      <w:pPr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评分标准</w:t>
      </w:r>
    </w:p>
    <w:tbl>
      <w:tblPr>
        <w:tblStyle w:val="4"/>
        <w:tblpPr w:leftFromText="180" w:rightFromText="180" w:vertAnchor="text" w:horzAnchor="page" w:tblpX="1183" w:tblpY="400"/>
        <w:tblOverlap w:val="never"/>
        <w:tblW w:w="946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209"/>
        <w:gridCol w:w="71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111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b/>
                <w:bCs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/>
                <w:bCs/>
                <w:shd w:val="clear" w:color="auto" w:fill="FFFFFF"/>
              </w:rPr>
              <w:t>一级</w:t>
            </w:r>
          </w:p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b/>
                <w:bCs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/>
                <w:bCs/>
                <w:shd w:val="clear" w:color="auto" w:fill="FFFFFF"/>
              </w:rPr>
              <w:t>指标</w:t>
            </w:r>
          </w:p>
        </w:tc>
        <w:tc>
          <w:tcPr>
            <w:tcW w:w="120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ind w:firstLine="4" w:firstLineChars="2"/>
              <w:jc w:val="center"/>
              <w:rPr>
                <w:rFonts w:ascii="仿宋" w:hAnsi="仿宋" w:eastAsia="仿宋" w:cs="仿宋"/>
                <w:b/>
                <w:bCs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/>
                <w:bCs/>
                <w:shd w:val="clear" w:color="auto" w:fill="FFFFFF"/>
              </w:rPr>
              <w:t>二级指标</w:t>
            </w:r>
          </w:p>
        </w:tc>
        <w:tc>
          <w:tcPr>
            <w:tcW w:w="713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b/>
                <w:bCs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/>
                <w:bCs/>
                <w:shd w:val="clear" w:color="auto" w:fill="FFFFFF"/>
              </w:rPr>
              <w:t>指标说明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1119" w:type="dxa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教学</w:t>
            </w:r>
          </w:p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设计</w:t>
            </w:r>
          </w:p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(40分)</w:t>
            </w:r>
          </w:p>
        </w:tc>
        <w:tc>
          <w:tcPr>
            <w:tcW w:w="120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重点突出</w:t>
            </w:r>
          </w:p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（10分）</w:t>
            </w:r>
          </w:p>
        </w:tc>
        <w:tc>
          <w:tcPr>
            <w:tcW w:w="713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知识点选取准确、科学；选题好、适合用多媒体表达，是教学中典型、重点和难点问题。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1119" w:type="dxa"/>
            <w:vMerge w:val="continue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方法灵活</w:t>
            </w:r>
          </w:p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（10分）</w:t>
            </w:r>
          </w:p>
        </w:tc>
        <w:tc>
          <w:tcPr>
            <w:tcW w:w="713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教学过程深入浅出，形象生动，精彩有趣，启发引导性强，有利于提升学生学习的积极主动性，至少做到微原创。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1119" w:type="dxa"/>
            <w:vMerge w:val="continue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</w:p>
        </w:tc>
        <w:tc>
          <w:tcPr>
            <w:tcW w:w="120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结构清晰</w:t>
            </w:r>
          </w:p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（10分）</w:t>
            </w:r>
          </w:p>
        </w:tc>
        <w:tc>
          <w:tcPr>
            <w:tcW w:w="713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结构清晰、重点突出，逻辑性强，明了易懂。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1119" w:type="dxa"/>
            <w:vMerge w:val="continue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课件设计</w:t>
            </w:r>
          </w:p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（10分）</w:t>
            </w:r>
          </w:p>
        </w:tc>
        <w:tc>
          <w:tcPr>
            <w:tcW w:w="713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课件使用大赛模板，制作简洁，构图合理，素材搭配恰当，能够很好表现主题。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5" w:hRule="atLeast"/>
        </w:trPr>
        <w:tc>
          <w:tcPr>
            <w:tcW w:w="111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技术</w:t>
            </w:r>
          </w:p>
          <w:p>
            <w:pPr>
              <w:jc w:val="center"/>
              <w:rPr>
                <w:rFonts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实现</w:t>
            </w:r>
          </w:p>
          <w:p>
            <w:pPr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（30分）</w:t>
            </w:r>
          </w:p>
        </w:tc>
        <w:tc>
          <w:tcPr>
            <w:tcW w:w="120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技术规范</w:t>
            </w:r>
          </w:p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（30分）</w:t>
            </w:r>
          </w:p>
        </w:tc>
        <w:tc>
          <w:tcPr>
            <w:tcW w:w="713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8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1.录制方式：选用设备适宜微课的常态化应用和高效便捷的制作，符合日常教学、辅导的习惯。不建议使用录制成本较高的方式录制，不建议使用课堂录播方式。</w:t>
            </w:r>
          </w:p>
          <w:p>
            <w:pPr>
              <w:shd w:val="solid" w:color="FFFFFF" w:fill="auto"/>
              <w:autoSpaceDN w:val="0"/>
              <w:ind w:firstLine="378" w:firstLineChars="180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2.讲解形式：建议采用包括PPT展示、教学器具演示、纸面书写讲解、实验操作等组合的常用形式，作品亲切生动，突出知识点内容、画面简洁、不做多余的渲染，建议使用简单、专业的微课录制软件，不建议在后期制作上投入大量精力。</w:t>
            </w:r>
          </w:p>
          <w:p>
            <w:pPr>
              <w:shd w:val="solid" w:color="FFFFFF" w:fill="auto"/>
              <w:autoSpaceDN w:val="0"/>
              <w:ind w:firstLine="378" w:firstLineChars="180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3.视频内容能充分体现教师对知识点多方位的讲解能力，（例如：理论讲解、实物操作和解题过程等相结合的微课）让学生易学易懂。</w:t>
            </w:r>
          </w:p>
          <w:p>
            <w:pPr>
              <w:shd w:val="solid" w:color="FFFFFF" w:fill="auto"/>
              <w:autoSpaceDN w:val="0"/>
              <w:ind w:firstLine="378" w:firstLineChars="180"/>
              <w:rPr>
                <w:rFonts w:ascii="仿宋" w:hAnsi="仿宋" w:eastAsia="仿宋" w:cs="仿宋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4.微课视频时长不超过8分钟，视频画质清晰、图像稳定、声音清楚、声音与画面同步。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1119" w:type="dxa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作品</w:t>
            </w:r>
          </w:p>
          <w:p>
            <w:pPr>
              <w:shd w:val="solid" w:color="FFFFFF" w:fill="auto"/>
              <w:autoSpaceDN w:val="0"/>
              <w:jc w:val="center"/>
              <w:rPr>
                <w:rFonts w:hint="eastAsia" w:ascii="仿宋" w:hAnsi="仿宋" w:eastAsia="仿宋" w:cs="仿宋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规范</w:t>
            </w:r>
          </w:p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(20分)</w:t>
            </w:r>
          </w:p>
        </w:tc>
        <w:tc>
          <w:tcPr>
            <w:tcW w:w="120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ind w:firstLine="105" w:firstLineChars="50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材料齐全</w:t>
            </w:r>
          </w:p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（10分）</w:t>
            </w:r>
          </w:p>
        </w:tc>
        <w:tc>
          <w:tcPr>
            <w:tcW w:w="713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 xml:space="preserve">所提交的作品必须是微课视频，还可以提供与选题相关的辅助扩展资料（可选）：微教案、微习题、微课件、微反思等，便于评审。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119" w:type="dxa"/>
            <w:vMerge w:val="continue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语言规范</w:t>
            </w:r>
          </w:p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（10分）</w:t>
            </w:r>
          </w:p>
        </w:tc>
        <w:tc>
          <w:tcPr>
            <w:tcW w:w="7135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语言发音标准、简明、有亲和力。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111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教学</w:t>
            </w:r>
          </w:p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效果</w:t>
            </w:r>
          </w:p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(10分)</w:t>
            </w:r>
          </w:p>
        </w:tc>
        <w:tc>
          <w:tcPr>
            <w:tcW w:w="8344" w:type="dxa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完成设定的教学目标，有效解决实际教学问题，促进学生思维的提升、能力的提高。</w:t>
            </w:r>
          </w:p>
          <w:p>
            <w:pPr>
              <w:shd w:val="solid" w:color="FFFFFF" w:fill="auto"/>
              <w:autoSpaceDN w:val="0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有示范和引领作用，可以推广。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119" w:type="dxa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jc w:val="center"/>
              <w:rPr>
                <w:rFonts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hd w:val="clear" w:color="auto" w:fill="FFFFFF"/>
              </w:rPr>
              <w:t>合计</w:t>
            </w:r>
          </w:p>
        </w:tc>
        <w:tc>
          <w:tcPr>
            <w:tcW w:w="8344" w:type="dxa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hd w:val="solid" w:color="FFFFFF" w:fill="auto"/>
              <w:autoSpaceDN w:val="0"/>
              <w:ind w:firstLine="281"/>
              <w:jc w:val="left"/>
              <w:rPr>
                <w:rFonts w:ascii="仿宋" w:hAnsi="仿宋" w:eastAsia="仿宋" w:cs="仿宋"/>
                <w:shd w:val="clear" w:color="auto" w:fill="FFFFFF"/>
              </w:rPr>
            </w:pPr>
          </w:p>
        </w:tc>
      </w:tr>
    </w:tbl>
    <w:p>
      <w:pPr>
        <w:widowControl/>
        <w:jc w:val="left"/>
        <w:rPr>
          <w:rFonts w:ascii="仿宋" w:hAnsi="仿宋" w:eastAsia="仿宋" w:cs="仿宋"/>
          <w:sz w:val="24"/>
        </w:rPr>
      </w:pPr>
    </w:p>
    <w:p>
      <w:pPr>
        <w:widowControl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sz w:val="24"/>
        </w:rPr>
        <w:t>备注：参考作品</w:t>
      </w:r>
      <w:r>
        <w:rPr>
          <w:rFonts w:hint="eastAsia" w:ascii="仿宋" w:hAnsi="仿宋" w:eastAsia="仿宋" w:cs="仿宋"/>
          <w:sz w:val="24"/>
          <w:lang w:val="en-US" w:eastAsia="zh-CN"/>
        </w:rPr>
        <w:t>投票</w:t>
      </w:r>
      <w:r>
        <w:rPr>
          <w:rFonts w:hint="eastAsia" w:ascii="仿宋" w:hAnsi="仿宋" w:eastAsia="仿宋" w:cs="仿宋"/>
          <w:sz w:val="24"/>
        </w:rPr>
        <w:t>情况进行打分。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zNzE0YjljY2YxZTIwNThmYjcwY2EwYjk4M2EzZmMifQ=="/>
  </w:docVars>
  <w:rsids>
    <w:rsidRoot w:val="009F5FB8"/>
    <w:rsid w:val="0000328C"/>
    <w:rsid w:val="00133130"/>
    <w:rsid w:val="0070497C"/>
    <w:rsid w:val="009F5FB8"/>
    <w:rsid w:val="00D009C5"/>
    <w:rsid w:val="00E00B4C"/>
    <w:rsid w:val="073F0639"/>
    <w:rsid w:val="1C4F0C50"/>
    <w:rsid w:val="34E74B65"/>
    <w:rsid w:val="4D68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685</Words>
  <Characters>705</Characters>
  <Lines>5</Lines>
  <Paragraphs>1</Paragraphs>
  <TotalTime>1</TotalTime>
  <ScaleCrop>false</ScaleCrop>
  <LinksUpToDate>false</LinksUpToDate>
  <CharactersWithSpaces>706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2020-03-11T05:19:00Z</dcterms:created>
  <dc:creator>PC</dc:creator>
  <cp:lastModifiedBy>laotou</cp:lastModifiedBy>
  <dcterms:modified xsi:type="dcterms:W3CDTF">2023-04-10T08:39:21Z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A096037457A24BD1AB0611DDCCBAB153_13</vt:lpwstr>
  </property>
</Properties>
</file>